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bookmarkStart w:id="0" w:name="_GoBack"/>
      <w:bookmarkEnd w:id="0"/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  <w:sectPr w:rsidR="00B51D4F">
          <w:pgSz w:w="11906" w:h="16838"/>
          <w:pgMar w:top="851" w:right="850" w:bottom="1134" w:left="1701" w:header="708" w:footer="708" w:gutter="0"/>
          <w:cols w:space="720"/>
        </w:sect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КОМПЛЕКС МЕР</w:t>
      </w:r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("ДОРОЖНАЯ КАРТА") ПО РАЗВИТИЮ ЖИЛИЩНО-КОММУНАЛЬНОГО</w:t>
      </w:r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ХОЗЯЙСТВА </w:t>
      </w:r>
      <w:r>
        <w:rPr>
          <w:rFonts w:eastAsia="Times New Roman"/>
          <w:b/>
          <w:bCs/>
          <w:caps/>
          <w:szCs w:val="24"/>
          <w:lang w:eastAsia="ru-RU"/>
        </w:rPr>
        <w:t>Крапивновского сельского поселения</w:t>
      </w:r>
    </w:p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mallCaps/>
          <w:szCs w:val="24"/>
          <w:lang w:eastAsia="ru-RU"/>
        </w:rPr>
      </w:pPr>
    </w:p>
    <w:tbl>
      <w:tblPr>
        <w:tblW w:w="1602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86"/>
        <w:gridCol w:w="1985"/>
        <w:gridCol w:w="3118"/>
        <w:gridCol w:w="2835"/>
        <w:gridCol w:w="2127"/>
        <w:gridCol w:w="2409"/>
      </w:tblGrid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Ответственные за реализацию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Срок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1" w:name="Par39"/>
            <w:bookmarkEnd w:id="1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I. Обеспечение информационной открытости и подконтрольности жилищно-коммунального хозяйства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Осуществление мониторинга соблюдения требований постановлений Правительства Российской Федерации: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23.09.2010 </w:t>
            </w:r>
            <w:hyperlink r:id="rId5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731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28.12.2012 </w:t>
            </w:r>
            <w:hyperlink r:id="rId6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1468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30.12.2009 </w:t>
            </w:r>
            <w:hyperlink r:id="rId7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1140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"Об утверждении стандартов раскрытия информации организациями коммунального комплекса" (в части раскрытия информации в сфере утилизации (захоронения) твердых бытовых отходов);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05.07.2013 </w:t>
            </w:r>
            <w:hyperlink r:id="rId8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570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 стандартах раскрытия информации теплоснабжающими организациями,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теплосетевыми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организациями и органами регулирования";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от 17.01.2013 </w:t>
            </w:r>
            <w:hyperlink r:id="rId9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N 6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"О стандартах раскрытия информации в сфере водоснабжения и водоотведения"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Повышение прозрачности и подконтрольности сферы ЖКХ для граждан, органов государственной и муниципальной власти, общественных организаций.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Повышение эффективности работы управляющих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организаций (далее - РСО).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Обеспечение доступа граждан к необходимой информации в сфере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Разработка проекта постановления Правительства Ивановской области о назначении ответственных лиц и сроках осуществления мониторинга соблюдения требований федерального законодательства.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Разработка приказов: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2.1. Приказ ГЖИ "О систематическом наблюдении за исполнением требований стандарта раскрытия информации осуществления деятельности в сфере управления многоквартирными домами".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2.2. Приказ РСТ "О систематическом наблюдении за исполнением обязательных требований стандарта раскрытия информации организациями коммунального комплекса, теплоснабжающими организациями, в сфере водоснабжения и водоотведения"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(шт.) организаций, привлеченных к ответственности за нарушение установленных требований,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Разработка проектов постановлений и приказов - до 31.01.2015.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Организация системы мониторинга - не позднее января 2015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Осуществление мониторинга - не реже 1 раза в квартал начиная с 1 квартала 2015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Реализация регионального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а) создания и функционирования систем капитального ремонта общего имущества в многоквартирных домах;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б)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в) осуществления лицензирования деятельности по управлению МКД;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г) развития системы общественного контроля в сфере ЖКХ (поручение заместителя Председателя Правительства Российской Федерации Д.Н. Козака от 03.03.2014 N ДКИКН-П9-1465)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Повышение правовой грамотности населения.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66B8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" w:history="1">
              <w:r w:rsidR="00B51D4F"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="00B51D4F"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Ивановской области от 24.06.2013 N 238-п "О реализации мероприятий, направленных на информирование населения о принимаемых органами государственной власти Ивановской области мерах в сфере жилищно-коммунального хозяйства и по вопросам развития общественного контроля в этой сфере"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Количество (шт.) проведенных массовых мероприятий с участием граждан (семинары, собрания и т.д.)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Реализация мероприятий - постоянно.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Отчет об исполнении - не реже 1 раза в квартал начиная с 1 квартала 2015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и реализация регионального плана-графика по проекту "Школа грамотного потребителя" с учетом методических рекомендаций Минстроя России (перечень поручений Председателя Правительства Российской Федерации Д.А. Медведева по итогам проведения Всероссийского форума "ЖКХ - новое качество" в г. Челябинске 6 июня 2014 года от 11.06.2014 N ДМ-П9-4312)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Повышение правовой грамотности населения.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Снижение социальной напряженности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(шт.) публикаций в СМИ, связанных с жилищным просвещением,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Количество (шт.) проведенных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иформационно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-просветительских мероприятий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Количество (шт.) выпущенных информационно-просветительских материалов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Количество человек, прошедших обучение.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 Количество (%) к общему количеству населения, охваченного мероприятиями,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Утверждение регионального плана-графика - не позднее января 2015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Отчет об исполнении - не реже 1 раза в квартал начиная с 1 квартала 2015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системы мониторинга: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а) дебиторской задолженности организаций, осуществляющих управление многоквартирными домами (далее - МКД), по оплате ресурсов, необходимых для предоставления коммунальных услуг;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в разрезе муниципальных образований;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в) дебиторской задолженности населения за жилищно-коммунальные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 повышение эффективности работы управляющих организаций, РСО; обеспечение доступа граждан к необходимой информации в сфере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Отчеты по результатам действующего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мероприятий во исполнение Федерального </w:t>
            </w:r>
            <w:hyperlink r:id="rId11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План мероприятий по реализации Федерального </w:t>
            </w:r>
            <w:hyperlink r:id="rId12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21.07.2014 N 209-ФЗ "О государственной информационной системе жилищно-коммунального хозяйства" (в соответствии с методическими документами Минстроя России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Минкомсвязи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нормативных правовых актов Ивановской области по реализации Федерального </w:t>
            </w:r>
            <w:hyperlink r:id="rId13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Разработка проекта постановления об определении порядка эксплуатации государственной информационной системы жилищно-коммунального хозяйства - до 01.07.2015.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Обеспечение возможности передачи данных в ГИС ЖКХ - постоянно.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Обеспечение функционирования ГИС ЖКХ на территории Ивановской области в полном объеме, в соответствии с требованиями Федерального </w:t>
            </w:r>
            <w:hyperlink r:id="rId14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209-ФЗ - постоянно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2" w:name="Par154"/>
            <w:bookmarkEnd w:id="2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II.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Осуществление лицензирования деятельности по управлению МКД на территории Крапивновского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условий реализации требований федерального законодательства в части лицензирования деятельности по управлению МКД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3" w:name="Par193"/>
            <w:bookmarkEnd w:id="3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Принятие и реализация региональной </w:t>
            </w:r>
            <w:hyperlink r:id="rId15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домах, расположенных на территории Крапивновского сельского поселения (далее - РПКР)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Обеспечение проведения капитального ремонта МКД.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Создание системного механизма планомерного проведения капитального ремонта многоквартирного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66B8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="00B51D4F"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="00B51D4F"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Ивановской области от 30.04.2014 N 164-п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период действия </w:t>
            </w:r>
            <w:hyperlink r:id="rId17" w:history="1">
              <w:r w:rsidR="00B51D4F"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 w:rsidR="00B51D4F">
              <w:rPr>
                <w:rFonts w:eastAsia="Times New Roman"/>
                <w:sz w:val="20"/>
                <w:szCs w:val="20"/>
                <w:lang w:eastAsia="ru-RU"/>
              </w:rPr>
              <w:t xml:space="preserve"> - с 2015 по 2044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Капитальный ремонт МКД (план/факт).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Средства, израсходованные на проведение капитального ремонта </w:t>
            </w:r>
            <w:hyperlink r:id="rId18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РПКР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(план/факт)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региональной </w:t>
            </w:r>
            <w:hyperlink r:id="rId19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программой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капитального ремонта многоквартирных домов</w:t>
            </w:r>
          </w:p>
        </w:tc>
      </w:tr>
      <w:tr w:rsidR="00B51D4F" w:rsidTr="00B51D4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Принятие и реализация краткосрочных (сроком до трех лет) планов реализации </w:t>
            </w:r>
            <w:hyperlink r:id="rId20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РПКР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Улучшение условий проживания граждан.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Улучшение состояния многоквартирного жилищного фонда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66B8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="00B51D4F"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="00B51D4F"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Ивановской области "Об утверждении краткосрочного плана реализации региональной программы капитального ремонта многоквартирных домов на 2015 год"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Капитальный ремонт МКД (план/факт).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Средства, израсходованные на проведение капитального ремонта региональной </w:t>
            </w:r>
            <w:hyperlink r:id="rId22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 (план/факт)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краткосрочным </w:t>
            </w:r>
            <w:hyperlink r:id="rId23" w:history="1">
              <w:r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планом</w:t>
              </w:r>
            </w:hyperlink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4" w:name="Par264"/>
            <w:bookmarkStart w:id="5" w:name="Par320"/>
            <w:bookmarkEnd w:id="4"/>
            <w:bookmarkEnd w:id="5"/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V. Обеспечение модернизации объектов жилищно-коммунального хозяйства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Принятие правового акта об организации работы по разработке программ комплексного развития (далее - ПКР)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корректной реализации этапа утверждения схем водоснабжения и водоотведения, с учетом потребностей в развитии поселения,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организации работы по разработке ПКР с утверждением графика проведения данной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31.12.2014</w:t>
            </w:r>
          </w:p>
        </w:tc>
      </w:tr>
      <w:tr w:rsidR="00B51D4F" w:rsidTr="00B51D4F">
        <w:trPr>
          <w:trHeight w:val="1470"/>
        </w:trPr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ПКР по Крапивновскому сельскому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Сроки разработки и утверждения программ - до 01.07.2015 (с учетом поручения Правительства РФ от 26.09.2014 N ДК-П9-7302)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работ по выявлению бесхозяйных объектов,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(шт.) выявленных бесхозяйных объектов жилищно-коммунального хозяйства - по факту выявления на конец отчетного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Количество (шт.) выявленных бесхозяйных объектов жилищно-коммунального хозяйства, права собственности на которые зарегистрированы, - по факту на конец отчетного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организации работы по проведению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привлечения инвестиций в сферу жилищно-коммунального хозяйства субъекта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организации работы по проведению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графика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График регистрации прав собственности на объекты жилищно-коммунального хозяйства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работ по регистрации прав собственности на объекты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Отношение количества зарегистрированных в установленном порядке объектов жилищно-коммунального хозяйства к общему количеству таких объектов, расположенных на территории Крапивновского сельского поселения - 100%.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Количество бесхозяйных объектов жилищно-коммунального хозяйства с разбивкой по муниципальным образованиям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 по мере необходимости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Разработка схем водоснабжения и водоотведения, теплоснабжения в Крапивновском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ДЖКХ от 30.04.2014 N 59 "Об утверждении графиков разработки схем теплоснабжения и схем водоснабжения и водоотведения муниципальных образований Ивановской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 схем водоснабжения и водоотведения, теплоснабжения, прошедших процедуру публичных слушаний, - 100%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01.12.2014</w:t>
            </w:r>
          </w:p>
        </w:tc>
      </w:tr>
      <w:tr w:rsidR="00B51D4F" w:rsidTr="00B51D4F">
        <w:trPr>
          <w:trHeight w:val="1456"/>
        </w:trPr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схем водоснабжения и водоотведения, теплоснабжения в Крапивновском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Схемы водоснабжения и водоотведения, теплоснабжения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Завершение работы до 31.12.2014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работ по оценке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05.12.2014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региональных графиков передачи в концессию имущества неэффективных УП в соответствии с типовой формой, подготовленной Минстроем России (протокол селекторного совещания у заместителя Председателя Правительства Российской Федерации Д.Н. Козака от 27.06.2014 N ДКИКН-П9-127пр)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привлечения инвестиций в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Правительства Ивановской области об актуализации региональных графиков передачи в концессию имущества неэффективных 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Декабрь 2014 года, далее - постоянно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Размещение в открытом доступе на сайте Минстроя России актуализированных графиков передачи инфраструктуры неэффективных УП в концессию и соответствующей конкурсной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актуальной информационной базы о состоянии УП; создание условий для привлечения инвестиций в сферу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Декабрь 2014 года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6" w:name="Par467"/>
            <w:bookmarkEnd w:id="6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4.1. Модернизация объектов жилищно-коммунального хозяйства в сфере водоснабжения и водоотведения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поселения, утверждающий план мероприятий, предусматривающий достижение целевых показателей качества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90% населения питьевой водой, соответствующей нормативному уровню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2020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ДЖКХ, утверждающий плановые значения надежности систем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2017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ДЖКХ, утверждающий плановые значения надежности систем водоснабжения в Ивановской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до нормативного уровня технологических потерь питьевой воды при транспортировке по сетям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2018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РСТ об организации работы по установлению показателей деятельности для РСО в сфере водоснабжения и водоотведения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Первоначальное утверждение перечня показателей - 2014 год, далее - по мере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Отчеты о проведении технического обследования, согласованные с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Уровень физического износа основных фондов (%)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Уровень потерь воды при транспортировке (%)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год, далее - при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Отчет по результатам государственного мониторинга в области регулирования тарифов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Прибыль (убыток) по основной деятельности (% от выручки)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Уровень собираемости платежей (%)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Дебиторская задолженность (%) - по факту на конец отчетного периода.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Кредиторская задолженность (%) - по факту 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год, далее - ежегодно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Повышение качества питьевой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Организация работы по разработке и утверждению программ производственного контроля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Администрация, 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год, далее - корректировка при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гарантирующей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Решение органа местного самоуправления поселения, городского округа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2014 - 2015 годы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7" w:name="Par563"/>
            <w:bookmarkEnd w:id="7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4.2. Модернизация объектов жилищно-коммунального хозяйства в сфере теплоснабжения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не менее чем в 1,5 раза количества аварий и чрезвычайных ситуаций при производстве, транспортировке и 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2017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06.07.2013 N Пр-1479)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ДЖКХ, утверждающий план мероприятий, предусматривающий достижение целевых показателей надежности систем теплоснабжения в Ивановской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Снижение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2018 года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Утверждение плановых значений показателей надежности, качества, энергетической эффективности деятельности РСО в сфере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обеспечения населения качественными услугами в сфере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 РСТ об организации работы по установлению показателей деятельности для РСО в сфере теплоснабжения с разбивкой по муниципальным образованиям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ЖКХ,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Первоначальное утверждение перечня показателей - 1 квартал 2015 года, далее - постоянно по мере необходимости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единой теплоснабжающей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решения органа местного самоуправления при утверждении схемы теплоснабжения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2017 года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8" w:name="Par629"/>
            <w:bookmarkEnd w:id="8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V. Реализация мер по энергосбережению и повышению энергетической эффективности</w:t>
            </w:r>
          </w:p>
        </w:tc>
      </w:tr>
      <w:tr w:rsidR="00B51D4F" w:rsidTr="00B51D4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Оснащение объектов абонентов приборами учета тепловой энергии и индивидуальными тепловыми пунктами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снижение объемов потребления тепловой энергии, воды, электроэнергии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66B8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" w:history="1">
              <w:r w:rsidR="00B51D4F">
                <w:rPr>
                  <w:rStyle w:val="a4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Постановление</w:t>
              </w:r>
            </w:hyperlink>
            <w:r w:rsidR="00B51D4F">
              <w:rPr>
                <w:rFonts w:eastAsia="Times New Roman"/>
                <w:sz w:val="20"/>
                <w:szCs w:val="20"/>
                <w:lang w:eastAsia="ru-RU"/>
              </w:rPr>
              <w:t xml:space="preserve"> Правительства Ивановской области от 05.06.2014 N 229-п "Об утверждении государственной программы Ивановской области "Энергосбережение и повышение энергетической эффективности в Ивановской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Доля тепловой энергии, расчеты за которую осуществляются с использованием приборов учета (%):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Times New Roman"/>
                  <w:sz w:val="20"/>
                  <w:szCs w:val="20"/>
                  <w:lang w:eastAsia="ru-RU"/>
                </w:rPr>
                <w:t>2014 г</w:t>
              </w:r>
            </w:smartTag>
            <w:r>
              <w:rPr>
                <w:rFonts w:eastAsia="Times New Roman"/>
                <w:sz w:val="20"/>
                <w:szCs w:val="20"/>
                <w:lang w:eastAsia="ru-RU"/>
              </w:rPr>
              <w:t>. - 60%;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eastAsia="Times New Roman"/>
                <w:sz w:val="20"/>
                <w:szCs w:val="20"/>
                <w:lang w:eastAsia="ru-RU"/>
              </w:rPr>
              <w:t>. - 75%;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eastAsia="Times New Roman"/>
                <w:sz w:val="20"/>
                <w:szCs w:val="20"/>
                <w:lang w:eastAsia="ru-RU"/>
              </w:rPr>
              <w:t>. - 90%.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Доля тепловой энергии, поставляемой в многоквартирные дома с индивидуальными тепловыми пунктами (%), - до 20% к 2022 году.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Расход тепловой энергии в многоквартирных домах в течение отопительного периода (Гкал/кв. м):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- 2014 год - 10000,0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- 2015 год - 9900,0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- 2016 год - 9800,0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- 2017 год - 9500,0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- 2018 год - 9000,0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- 2019 год - 8000,0 тыс. Гкал;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- 2020 год - 7500,0 тыс. Гкал.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Доля воды, расчеты за которую осуществляются с использованием приборов учета (%):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- 2014 год - 50%;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- 2015 год - 70%;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- 2016 год - 90%.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 Потребление воды в расчете на 1 человека, л/сутки: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- 2014 год - 196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- 2015 год - 195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- 2016 год - 194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- 2017 год - 193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- 2018 год - 192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- 2019 год - 191 л/сутки;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- 2020 год - 190 л/сутки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МУП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Мониторинг - постоянно</w:t>
            </w:r>
          </w:p>
        </w:tc>
      </w:tr>
      <w:tr w:rsidR="00B51D4F" w:rsidTr="00B51D4F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9" w:name="Par719"/>
            <w:bookmarkEnd w:id="9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VI. Создание региональной системы по обращению с отходами потребления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утверждении графика разработки и принятия территориальной схемы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Снижение негативного воздействия на окружающую среду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утверждении графика разработки и принятия территориальной схемы обращения с ТБО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территориальной схемы обращения с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Отношение количества мероприятий графика, реализованных в установленный срок, по отношению к общему количеству мероприятий графика - 100%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B51D4F" w:rsidTr="00B51D4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Принятие правового акта администрации Крапивновского сельского поселения об организации работы по выявлению мест несанкционированного размещения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Снижение негативного воздействия на окружающую среду.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Повышение уровня жизни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Правовой акт администрации Крапивновского сельского поселения об организации работы по выявлению мест несанкционированного размещения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01.01.2015</w:t>
            </w:r>
          </w:p>
        </w:tc>
      </w:tr>
      <w:tr w:rsidR="00B51D4F" w:rsidTr="00B51D4F">
        <w:tc>
          <w:tcPr>
            <w:tcW w:w="1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Количество выявленных мест несанкционированного размещения отходов - по факту на конец отчетного года.</w:t>
            </w:r>
          </w:p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Количество ликвидированных мест несанкционированного размещения отходов - по факту на конец отчетного года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4F" w:rsidRDefault="00B51D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B51D4F" w:rsidRDefault="00B51D4F" w:rsidP="00B51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  <w:sectPr w:rsidR="00B51D4F">
          <w:pgSz w:w="16838" w:h="11906" w:orient="landscape"/>
          <w:pgMar w:top="1701" w:right="851" w:bottom="851" w:left="1134" w:header="709" w:footer="709" w:gutter="0"/>
          <w:cols w:space="720"/>
        </w:sectPr>
      </w:pPr>
    </w:p>
    <w:p w:rsidR="00B51D4F" w:rsidRDefault="00B51D4F" w:rsidP="00B51D4F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433B1"/>
    <w:multiLevelType w:val="hybridMultilevel"/>
    <w:tmpl w:val="BD3ACE50"/>
    <w:lvl w:ilvl="0" w:tplc="E08866F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3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51D4F"/>
    <w:rsid w:val="00B66B8D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3293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742ACE-0C3B-4337-B4E9-36AA43B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4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1EDDCD373C6B25DA6B51FB5A7815A6D7D7CE28d9MAG" TargetMode="External"/><Relationship Id="rId13" Type="http://schemas.openxmlformats.org/officeDocument/2006/relationships/hyperlink" Target="consultantplus://offline/ref=E5DB1C8759D8740E01AD1EDDCD373C6B25D86759FA527815A6D7D7CE28d9MAG" TargetMode="External"/><Relationship Id="rId18" Type="http://schemas.openxmlformats.org/officeDocument/2006/relationships/hyperlink" Target="consultantplus://offline/ref=E5DB1C8759D8740E01AD1ECBCE5B606420D53C5CF3517247FE888C937F93CFEA7CE14D158EFD74DEFD6A4Ed2M9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DB1C8759D8740E01AD1ECBCE5B606420D53C5CF35B7647FF888C937F93CFEAd7MCG" TargetMode="External"/><Relationship Id="rId7" Type="http://schemas.openxmlformats.org/officeDocument/2006/relationships/hyperlink" Target="consultantplus://offline/ref=E5DB1C8759D8740E01AD1EDDCD373C6B25DB6A58F3517815A6D7D7CE28d9MAG" TargetMode="External"/><Relationship Id="rId12" Type="http://schemas.openxmlformats.org/officeDocument/2006/relationships/hyperlink" Target="consultantplus://offline/ref=E5DB1C8759D8740E01AD1EDDCD373C6B25D86759FA527815A6D7D7CE28d9MAG" TargetMode="External"/><Relationship Id="rId17" Type="http://schemas.openxmlformats.org/officeDocument/2006/relationships/hyperlink" Target="consultantplus://offline/ref=E5DB1C8759D8740E01AD1ECBCE5B606420D53C5CF3517247FE888C937F93CFEA7CE14D158EFD74DEFD6A4Ed2M9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DB1C8759D8740E01AD1ECBCE5B606420D53C5CF3517247FE888C937F93CFEAd7MCG" TargetMode="External"/><Relationship Id="rId20" Type="http://schemas.openxmlformats.org/officeDocument/2006/relationships/hyperlink" Target="consultantplus://offline/ref=E5DB1C8759D8740E01AD1ECBCE5B606420D53C5CF3517247FE888C937F93CFEA7CE14D158EFD74DEFD6A4Ed2M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B1C8759D8740E01AD1EDDCD373C6B25D86351F85B7815A6D7D7CE28d9MAG" TargetMode="External"/><Relationship Id="rId11" Type="http://schemas.openxmlformats.org/officeDocument/2006/relationships/hyperlink" Target="consultantplus://offline/ref=E5DB1C8759D8740E01AD1EDDCD373C6B25D86759FA527815A6D7D7CE28d9MAG" TargetMode="External"/><Relationship Id="rId24" Type="http://schemas.openxmlformats.org/officeDocument/2006/relationships/hyperlink" Target="consultantplus://offline/ref=E5DB1C8759D8740E01AD1ECBCE5B606420D53C5CF3547041F3888C937F93CFEAd7MCG" TargetMode="External"/><Relationship Id="rId5" Type="http://schemas.openxmlformats.org/officeDocument/2006/relationships/hyperlink" Target="consultantplus://offline/ref=E5DB1C8759D8740E01AD1EDDCD373C6B25D86351F3557815A6D7D7CE28d9MAG" TargetMode="External"/><Relationship Id="rId15" Type="http://schemas.openxmlformats.org/officeDocument/2006/relationships/hyperlink" Target="consultantplus://offline/ref=E5DB1C8759D8740E01AD1ECBCE5B606420D53C5CF3517247FE888C937F93CFEA7CE14D158EFD74DEFD6A4Ed2M9G" TargetMode="External"/><Relationship Id="rId23" Type="http://schemas.openxmlformats.org/officeDocument/2006/relationships/hyperlink" Target="consultantplus://offline/ref=E5DB1C8759D8740E01AD1ECBCE5B606420D53C5CF35B7647FF888C937F93CFEA7CE14D158EFD74DEFD6A4Ed2M9G" TargetMode="External"/><Relationship Id="rId10" Type="http://schemas.openxmlformats.org/officeDocument/2006/relationships/hyperlink" Target="consultantplus://offline/ref=E5DB1C8759D8740E01AD1ECBCE5B606420D53C5CFC517047FB888C937F93CFEAd7MCG" TargetMode="External"/><Relationship Id="rId19" Type="http://schemas.openxmlformats.org/officeDocument/2006/relationships/hyperlink" Target="consultantplus://offline/ref=E5DB1C8759D8740E01AD1ECBCE5B606420D53C5CF3517247FE888C937F93CFEA7CE14D158EFD74DEFD6A4Ed2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B1C8759D8740E01AD1EDDCD373C6B25DA6258F2557815A6D7D7CE28d9MAG" TargetMode="External"/><Relationship Id="rId14" Type="http://schemas.openxmlformats.org/officeDocument/2006/relationships/hyperlink" Target="consultantplus://offline/ref=E5DB1C8759D8740E01AD1EDDCD373C6B25D86759FA527815A6D7D7CE28d9MAG" TargetMode="External"/><Relationship Id="rId22" Type="http://schemas.openxmlformats.org/officeDocument/2006/relationships/hyperlink" Target="consultantplus://offline/ref=E5DB1C8759D8740E01AD1ECBCE5B606420D53C5CF3517247FE888C937F93CFEA7CE14D158EFD74DEFD6A4Ed2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3782</Words>
  <Characters>21561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2015-02-25T05:19:00Z</dcterms:created>
  <dcterms:modified xsi:type="dcterms:W3CDTF">2015-02-25T12:06:00Z</dcterms:modified>
</cp:coreProperties>
</file>